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393CC" w14:textId="77777777" w:rsidR="00DD0A0C" w:rsidRPr="00DD0A0C" w:rsidRDefault="00DD0A0C" w:rsidP="00DD0A0C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DD0A0C">
        <w:rPr>
          <w:rFonts w:ascii="Verdana" w:hAnsi="Verdana"/>
          <w:b/>
          <w:color w:val="000000"/>
          <w:sz w:val="32"/>
          <w:lang w:val="ru-RU"/>
        </w:rPr>
        <w:t>Исследование слова</w:t>
      </w:r>
    </w:p>
    <w:p w14:paraId="403AE67E" w14:textId="3705B2A7" w:rsidR="00DD0A0C" w:rsidRPr="00DD0A0C" w:rsidRDefault="00DD0A0C" w:rsidP="00DD0A0C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DD0A0C">
        <w:rPr>
          <w:rFonts w:ascii="Verdana" w:hAnsi="Verdana"/>
          <w:color w:val="000000"/>
          <w:lang w:val="ru-RU"/>
        </w:rPr>
        <w:t>Хорхе Луис Борхес</w:t>
      </w:r>
    </w:p>
    <w:p w14:paraId="54270DE2" w14:textId="77777777" w:rsidR="00DD0A0C" w:rsidRDefault="00DD0A0C" w:rsidP="00DD0A0C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sz w:val="20"/>
        </w:rPr>
      </w:pPr>
    </w:p>
    <w:p w14:paraId="2EA93B4D" w14:textId="794C7821" w:rsidR="00DD0A0C" w:rsidRDefault="00DD0A0C" w:rsidP="00DD0A0C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sz w:val="20"/>
        </w:rPr>
      </w:pPr>
      <w:r w:rsidRPr="00DD0A0C">
        <w:rPr>
          <w:rFonts w:ascii="Verdana" w:hAnsi="Verdana"/>
          <w:color w:val="000000"/>
          <w:sz w:val="20"/>
        </w:rPr>
        <w:t>I</w:t>
      </w:r>
    </w:p>
    <w:p w14:paraId="05A992D0" w14:textId="77777777" w:rsidR="00DD0A0C" w:rsidRPr="00DD0A0C" w:rsidRDefault="00DD0A0C" w:rsidP="00DD0A0C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sz w:val="20"/>
          <w:lang w:val="ru-RU"/>
        </w:rPr>
      </w:pPr>
    </w:p>
    <w:p w14:paraId="2D54D669" w14:textId="38EE4A8F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Хочу поделиться с другими одним из моих незнаний: хочу опубликовать возвращающуюся нерешённость моей мысли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вдруг какой-нибудь другой сомневающийся поможет мне усомниться в ней, и его разделённый полусвет станет светом. Тема почти грамматическая, и я объявляю об этом как предупреждение тем читателям, которые порицали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с дружеским намерением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мои грамматические причуды и требуют от меня произведения человеческого. Я мог бы ответить, что самое человеческое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то есть наименее минеральное, растительное, животное и даже ангельское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как раз грамматика; но я их понимаю и потому прошу у них позволения на этот раз. Мои страдания и мои радости пусть останутся для другой страницы, если кто-нибудь захочет их читать.</w:t>
      </w:r>
    </w:p>
    <w:p w14:paraId="2AB24107" w14:textId="77777777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Задача моего размышления такова: посредством какого психологического процесса мы понимаем предложение?</w:t>
      </w:r>
    </w:p>
    <w:p w14:paraId="13757CF1" w14:textId="48C991C4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Чтобы рассмотреть это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я не решаюсь думать, что разрешить,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 xml:space="preserve">разберём любое предложение, не по искусственным аналогическим классификациям, которые приводят различные грамматики, а в поисках того содержания, которое его слова передают тому, кто по ним проходит. Пусть это будет фраза всем известная и несомненно ясная: </w:t>
      </w:r>
      <w:r w:rsidRPr="00DD0A0C">
        <w:rPr>
          <w:rFonts w:ascii="Verdana" w:hAnsi="Verdana"/>
          <w:color w:val="000000"/>
          <w:sz w:val="20"/>
        </w:rPr>
        <w:t>En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un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lugar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de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la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Mancha</w:t>
      </w:r>
      <w:r w:rsidRPr="00DD0A0C">
        <w:rPr>
          <w:rFonts w:ascii="Verdana" w:hAnsi="Verdana"/>
          <w:color w:val="000000"/>
          <w:sz w:val="20"/>
          <w:lang w:val="ru-RU"/>
        </w:rPr>
        <w:t xml:space="preserve">, </w:t>
      </w:r>
      <w:r w:rsidRPr="00DD0A0C">
        <w:rPr>
          <w:rFonts w:ascii="Verdana" w:hAnsi="Verdana"/>
          <w:color w:val="000000"/>
          <w:sz w:val="20"/>
        </w:rPr>
        <w:t>de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cuyo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nombre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no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quiero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acordarme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и всё, что за ней следует.</w:t>
      </w:r>
    </w:p>
    <w:p w14:paraId="1D46E366" w14:textId="77777777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Начинаю разбор.</w:t>
      </w:r>
    </w:p>
    <w:p w14:paraId="438E7C39" w14:textId="6333A547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</w:rPr>
        <w:t>En</w:t>
      </w:r>
      <w:r w:rsidRPr="00DD0A0C">
        <w:rPr>
          <w:rFonts w:ascii="Verdana" w:hAnsi="Verdana"/>
          <w:color w:val="000000"/>
          <w:sz w:val="20"/>
          <w:lang w:val="ru-RU"/>
        </w:rPr>
        <w:t>. Это не целое слово, это обещание других, которые последуют. Оно указывает, что ближайшие будущие слова будут не главным в контексте, а местонахождением главного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во времени или в пространстве.</w:t>
      </w:r>
    </w:p>
    <w:p w14:paraId="4C406B13" w14:textId="1270224C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</w:rPr>
        <w:t>Un</w:t>
      </w:r>
      <w:r w:rsidRPr="00DD0A0C">
        <w:rPr>
          <w:rFonts w:ascii="Verdana" w:hAnsi="Verdana"/>
          <w:color w:val="000000"/>
          <w:sz w:val="20"/>
          <w:lang w:val="ru-RU"/>
        </w:rPr>
        <w:t>. Собственно говоря, это слово обозначает единичность того, что оно определяет. Здесь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нет. Здесь это объявление о реальном существовании, но не слишком индивидуализированном или очерченном.</w:t>
      </w:r>
    </w:p>
    <w:p w14:paraId="5E58A5F8" w14:textId="36DEE2CD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</w:rPr>
        <w:t>Lugar</w:t>
      </w:r>
      <w:r w:rsidRPr="00DD0A0C">
        <w:rPr>
          <w:rFonts w:ascii="Verdana" w:hAnsi="Verdana"/>
          <w:color w:val="000000"/>
          <w:sz w:val="20"/>
          <w:lang w:val="ru-RU"/>
        </w:rPr>
        <w:t xml:space="preserve">. Это слово местонахождения, обещанное частицей </w:t>
      </w:r>
      <w:r w:rsidRPr="00DD0A0C">
        <w:rPr>
          <w:rFonts w:ascii="Verdana" w:hAnsi="Verdana"/>
          <w:color w:val="000000"/>
          <w:sz w:val="20"/>
        </w:rPr>
        <w:t>en</w:t>
      </w:r>
      <w:r w:rsidRPr="00DD0A0C">
        <w:rPr>
          <w:rFonts w:ascii="Verdana" w:hAnsi="Verdana"/>
          <w:color w:val="000000"/>
          <w:sz w:val="20"/>
          <w:lang w:val="ru-RU"/>
        </w:rPr>
        <w:t xml:space="preserve">. Его назначение чисто синтаксическое: оно не прибавляет ни малейшего представления к тому, что уже подсказано двумя предыдущими словами. Представить себе </w:t>
      </w:r>
      <w:r w:rsidRPr="00DD0A0C">
        <w:rPr>
          <w:rFonts w:ascii="Verdana" w:hAnsi="Verdana"/>
          <w:color w:val="000000"/>
          <w:sz w:val="20"/>
        </w:rPr>
        <w:t>en</w:t>
      </w:r>
      <w:r w:rsidRPr="00DD0A0C">
        <w:rPr>
          <w:rFonts w:ascii="Verdana" w:hAnsi="Verdana"/>
          <w:color w:val="000000"/>
          <w:sz w:val="20"/>
          <w:lang w:val="ru-RU"/>
        </w:rPr>
        <w:t xml:space="preserve"> и представить себе </w:t>
      </w:r>
      <w:r w:rsidRPr="00DD0A0C">
        <w:rPr>
          <w:rFonts w:ascii="Verdana" w:hAnsi="Verdana"/>
          <w:color w:val="000000"/>
          <w:sz w:val="20"/>
        </w:rPr>
        <w:t>en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un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lugar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 xml:space="preserve">безразлично, поскольку всякое «в» находится в каком-то месте и уже подразумевает его. Мне ответят, что </w:t>
      </w:r>
      <w:r w:rsidRPr="00DD0A0C">
        <w:rPr>
          <w:rFonts w:ascii="Verdana" w:hAnsi="Verdana"/>
          <w:color w:val="000000"/>
          <w:sz w:val="20"/>
        </w:rPr>
        <w:t>lugar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 xml:space="preserve">имя существительное, вещь, и что Сервантес написал его не для обозначения части пространства, а в значении «деревушка», «селение» или «посёлок». На первое я отвечу, что после Маха, Юма и Беркли рискованно ссылаться на вещи в себе и что для искреннего читателя между предлогом </w:t>
      </w:r>
      <w:r w:rsidRPr="00DD0A0C">
        <w:rPr>
          <w:rFonts w:ascii="Verdana" w:hAnsi="Verdana"/>
          <w:color w:val="000000"/>
          <w:sz w:val="20"/>
        </w:rPr>
        <w:t>en</w:t>
      </w:r>
      <w:r w:rsidRPr="00DD0A0C">
        <w:rPr>
          <w:rFonts w:ascii="Verdana" w:hAnsi="Verdana"/>
          <w:color w:val="000000"/>
          <w:sz w:val="20"/>
          <w:lang w:val="ru-RU"/>
        </w:rPr>
        <w:t xml:space="preserve"> и именем существительным </w:t>
      </w:r>
      <w:r w:rsidRPr="00DD0A0C">
        <w:rPr>
          <w:rFonts w:ascii="Verdana" w:hAnsi="Verdana"/>
          <w:color w:val="000000"/>
          <w:sz w:val="20"/>
        </w:rPr>
        <w:t>lugar</w:t>
      </w:r>
      <w:r w:rsidRPr="00DD0A0C">
        <w:rPr>
          <w:rFonts w:ascii="Verdana" w:hAnsi="Verdana"/>
          <w:color w:val="000000"/>
          <w:sz w:val="20"/>
          <w:lang w:val="ru-RU"/>
        </w:rPr>
        <w:t xml:space="preserve"> есть лишь разница ударения; на второе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что различие верно, но становится заметным только позднее.</w:t>
      </w:r>
    </w:p>
    <w:p w14:paraId="09E414C8" w14:textId="1F52331E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</w:rPr>
        <w:t>De</w:t>
      </w:r>
      <w:r w:rsidRPr="00DD0A0C">
        <w:rPr>
          <w:rFonts w:ascii="Verdana" w:hAnsi="Verdana"/>
          <w:color w:val="000000"/>
          <w:sz w:val="20"/>
          <w:lang w:val="ru-RU"/>
        </w:rPr>
        <w:t>. Это обычно слово зависимости, принадлежности. Здесь оно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несколько неожиданно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 xml:space="preserve">синоним </w:t>
      </w:r>
      <w:r w:rsidRPr="00DD0A0C">
        <w:rPr>
          <w:rFonts w:ascii="Verdana" w:hAnsi="Verdana"/>
          <w:color w:val="000000"/>
          <w:sz w:val="20"/>
        </w:rPr>
        <w:t>en</w:t>
      </w:r>
      <w:r w:rsidRPr="00DD0A0C">
        <w:rPr>
          <w:rFonts w:ascii="Verdana" w:hAnsi="Verdana"/>
          <w:color w:val="000000"/>
          <w:sz w:val="20"/>
          <w:lang w:val="ru-RU"/>
        </w:rPr>
        <w:t>. Здесь оно означает, что сцена пока ещё таинственного центрального предложения этой фразы, в свою очередь, находится в другом месте, которое нам сейчас будет открыто.</w:t>
      </w:r>
    </w:p>
    <w:p w14:paraId="0DFDEF89" w14:textId="295C7621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</w:rPr>
        <w:t>La</w:t>
      </w:r>
      <w:r w:rsidRPr="00DD0A0C">
        <w:rPr>
          <w:rFonts w:ascii="Verdana" w:hAnsi="Verdana"/>
          <w:color w:val="000000"/>
          <w:sz w:val="20"/>
          <w:lang w:val="ru-RU"/>
        </w:rPr>
        <w:t xml:space="preserve">. Это почти-слово, как нам говорят, происходит от </w:t>
      </w:r>
      <w:r w:rsidRPr="00DD0A0C">
        <w:rPr>
          <w:rFonts w:ascii="Verdana" w:hAnsi="Verdana"/>
          <w:color w:val="000000"/>
          <w:sz w:val="20"/>
        </w:rPr>
        <w:t>illa</w:t>
      </w:r>
      <w:r w:rsidRPr="00DD0A0C">
        <w:rPr>
          <w:rFonts w:ascii="Verdana" w:hAnsi="Verdana"/>
          <w:color w:val="000000"/>
          <w:sz w:val="20"/>
          <w:lang w:val="ru-RU"/>
        </w:rPr>
        <w:t xml:space="preserve">, что по-латыни означало «та». То есть прежде это было слово направленное, слово оправданное и словно оживлённое каким-то жестом; теперь это призрак </w:t>
      </w:r>
      <w:r w:rsidRPr="00DD0A0C">
        <w:rPr>
          <w:rFonts w:ascii="Verdana" w:hAnsi="Verdana"/>
          <w:color w:val="000000"/>
          <w:sz w:val="20"/>
        </w:rPr>
        <w:t>illa</w:t>
      </w:r>
      <w:r w:rsidRPr="00DD0A0C">
        <w:rPr>
          <w:rFonts w:ascii="Verdana" w:hAnsi="Verdana"/>
          <w:color w:val="000000"/>
          <w:sz w:val="20"/>
          <w:lang w:val="ru-RU"/>
        </w:rPr>
        <w:t>, без иной задачи, кроме указания грамматического рода: классификации, разумеется, совершенно бесполой, которая предполагает мужественность у булавок и не предполагает её у копий. Кстати, уместно вспомнить, что пишет Гребнер о грамматическом роде: «Теперь преобладает мнение, что первоначально грамматические роды представляли собой шкалу ценности и что женский род во многих языках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в семитских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представляет ценность низшую, чем мужской».</w:t>
      </w:r>
    </w:p>
    <w:p w14:paraId="61DB1B0E" w14:textId="77777777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</w:rPr>
        <w:t>Mancha</w:t>
      </w:r>
      <w:r w:rsidRPr="00DD0A0C">
        <w:rPr>
          <w:rFonts w:ascii="Verdana" w:hAnsi="Verdana"/>
          <w:color w:val="000000"/>
          <w:sz w:val="20"/>
          <w:lang w:val="ru-RU"/>
        </w:rPr>
        <w:t>. Это имя может быть представлено по-разному. Сервантес написал его, чтобы его известная реальность придала объём неслыханной реальности его дона Кихота. Хитроумный идальго с избытком отплатил этот долг: если народы слышали о Ла-Манче, это его дело.</w:t>
      </w:r>
    </w:p>
    <w:p w14:paraId="2DA9E272" w14:textId="64C1DF6F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 xml:space="preserve">Означает ли сказанное, что называние Ла-Манчи уже было пейзажем для современников романиста? Я осмелюсь утверждать обратное: её реальность была не </w:t>
      </w:r>
      <w:r w:rsidRPr="00DD0A0C">
        <w:rPr>
          <w:rFonts w:ascii="Verdana" w:hAnsi="Verdana"/>
          <w:color w:val="000000"/>
          <w:sz w:val="20"/>
          <w:lang w:val="ru-RU"/>
        </w:rPr>
        <w:lastRenderedPageBreak/>
        <w:t xml:space="preserve">зрительной, а чувствительной; это была реальность плоской провинциальности, неисправимой, непреодолимой. Чтобы понять её, не нужно было её воображать зрительно; сказать Ла-Манча было всё равно что сказать нам </w:t>
      </w:r>
      <w:r w:rsidRPr="00DD0A0C">
        <w:rPr>
          <w:rFonts w:ascii="Verdana" w:hAnsi="Verdana"/>
          <w:color w:val="000000"/>
          <w:sz w:val="20"/>
        </w:rPr>
        <w:t>Pig</w:t>
      </w:r>
      <w:r w:rsidRPr="00DD0A0C">
        <w:rPr>
          <w:rFonts w:ascii="Verdana" w:hAnsi="Verdana"/>
          <w:color w:val="000000"/>
          <w:sz w:val="20"/>
          <w:lang w:val="ru-RU"/>
        </w:rPr>
        <w:t>üé. Кастильский пейзаж тогда был одной из явных тайн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</w:rPr>
        <w:t>offenbare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Geheimnisse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Гёте. Сервантес его не видел: достаточно вспомнить поля в итальянском духе, которые он для большей приятности своего романа распределял по книге. Более сведущим в манчских пейзажах был Кеведо: прочтите в письме к дону Алонсо Мессии де Лейве его жёсткое описание, которое начинается так: «По Ла-Манче зимой, где облака и ручьи, вместо того чтобы, как в других местах, производить тополевые рощи, производят грязь и болота…»,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и после многих строк заканчивается так: «Рассвело; мне кажется низостью со стороны зари вспоминать о таком месте».</w:t>
      </w:r>
    </w:p>
    <w:p w14:paraId="6960FAA4" w14:textId="11C98170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 xml:space="preserve">Думаю, что подробное продолжение этого разбора бесполезно. Отмечу только, что конец этого члена обозначен запятой. Эта маленькая кривая черта указывает, что последующее выражение </w:t>
      </w:r>
      <w:r w:rsidRPr="00DD0A0C">
        <w:rPr>
          <w:rFonts w:ascii="Verdana" w:hAnsi="Verdana"/>
          <w:color w:val="000000"/>
          <w:sz w:val="20"/>
        </w:rPr>
        <w:t>de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cuyo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nombre</w:t>
      </w:r>
      <w:r w:rsidRPr="00DD0A0C">
        <w:rPr>
          <w:rFonts w:ascii="Verdana" w:hAnsi="Verdana"/>
          <w:color w:val="000000"/>
          <w:sz w:val="20"/>
          <w:lang w:val="ru-RU"/>
        </w:rPr>
        <w:t xml:space="preserve"> должно относиться не к Ла-Манче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о чьём имени автор как раз хотел помнить,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 xml:space="preserve">а к </w:t>
      </w:r>
      <w:r w:rsidRPr="00DD0A0C">
        <w:rPr>
          <w:rFonts w:ascii="Verdana" w:hAnsi="Verdana"/>
          <w:color w:val="000000"/>
          <w:sz w:val="20"/>
        </w:rPr>
        <w:t>lugar</w:t>
      </w:r>
      <w:r w:rsidRPr="00DD0A0C">
        <w:rPr>
          <w:rFonts w:ascii="Verdana" w:hAnsi="Verdana"/>
          <w:color w:val="000000"/>
          <w:sz w:val="20"/>
          <w:lang w:val="ru-RU"/>
        </w:rPr>
        <w:t>. То есть эта маленькая кривая черта, или орфографический знак, или короткая пауза, если сказать сжато, или атом молчания, существенно не отличается от слова. Настолько намеренны запятые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или настолько ничтожны слова.</w:t>
      </w:r>
    </w:p>
    <w:p w14:paraId="487C4D81" w14:textId="77777777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Теперь исследуем общее.</w:t>
      </w:r>
    </w:p>
    <w:p w14:paraId="63B6253A" w14:textId="0AC3A051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Учение всех грамматик, которые я держал в руках, даже умнейшей грамматики Андреса Бельо, состоит в том, что всякое изолированное слово есть знак и обозначает самостоятельную идею. Это учение опирается на согласие простонародья, а словари его укрепляют. Как отрицать, что каждое слово есть единица для мысли, если словарь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в алфавитном беспорядке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 xml:space="preserve">регистрирует их все, разобщает и без права обжалования определяет? Предприятие трудно, но предыдущий разбор навязывает его нам. Невозможно поверить, что один только смысл </w:t>
      </w:r>
      <w:r w:rsidRPr="00DD0A0C">
        <w:rPr>
          <w:rFonts w:ascii="Verdana" w:hAnsi="Verdana"/>
          <w:color w:val="000000"/>
          <w:sz w:val="20"/>
        </w:rPr>
        <w:t>En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un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lugar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de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la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Mancha</w:t>
      </w:r>
      <w:r w:rsidRPr="00DD0A0C">
        <w:rPr>
          <w:rFonts w:ascii="Verdana" w:hAnsi="Verdana"/>
          <w:color w:val="000000"/>
          <w:sz w:val="20"/>
          <w:lang w:val="ru-RU"/>
        </w:rPr>
        <w:t xml:space="preserve">, </w:t>
      </w:r>
      <w:r w:rsidRPr="00DD0A0C">
        <w:rPr>
          <w:rFonts w:ascii="Verdana" w:hAnsi="Verdana"/>
          <w:color w:val="000000"/>
          <w:sz w:val="20"/>
        </w:rPr>
        <w:t>de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cuyo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nombre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no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quiero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acordarme</w:t>
      </w:r>
      <w:r w:rsidRPr="00DD0A0C">
        <w:rPr>
          <w:rFonts w:ascii="Verdana" w:hAnsi="Verdana"/>
          <w:color w:val="000000"/>
          <w:sz w:val="20"/>
          <w:lang w:val="ru-RU"/>
        </w:rPr>
        <w:t xml:space="preserve"> организован двенадцатью идеями. Разговаривать было бы делом ангелов, а не людей, если бы это было так. Это не так, и доказательство в том, что тот же смысл может уместиться в большем или меньшем числе слов. </w:t>
      </w:r>
      <w:r w:rsidRPr="00DD0A0C">
        <w:rPr>
          <w:rFonts w:ascii="Verdana" w:hAnsi="Verdana"/>
          <w:color w:val="000000"/>
          <w:sz w:val="20"/>
        </w:rPr>
        <w:t>En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un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pueblo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manchego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cuyo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nombre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no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quiero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recordar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равнозначно и состоит из девяти знаков вместо двенадцати. То есть слова не являются реальностью языка; отдельные слова не существуют.</w:t>
      </w:r>
    </w:p>
    <w:p w14:paraId="5DBF1A54" w14:textId="126F7897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Таково учение Кроче. Чтобы его обосновать, Кроче отрицает части речи и утверждает, что они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вторжение логики, дерзость. Предложение, рассуждает он, неделимо, а грамматические категории, которые его расчленяют,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абстракции, добавленные к реальности. Одно дело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произнесённое выражение, другое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его посмертная переработка в существительные, прилагательные или глаголы.</w:t>
      </w:r>
    </w:p>
    <w:p w14:paraId="0761F6D0" w14:textId="02B8083A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Мануэль де Монтолиу в своём изложении, а временами и опровержении крочеанства хорошо проясняет этот тезис и резюмирует его так, не без чрезмерной таинственности: «Единственная языковая реальность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предложение. И это понятие предложения следует понимать не в том смысле, какой дают ему грамматики, а в смысле выразительного организма совершенного смысла, включающего как простое восклицание, так и обширную поэму» («Язык как эстетическое явление», Буэнос-Айрес, 1926).</w:t>
      </w:r>
    </w:p>
    <w:p w14:paraId="54464B6C" w14:textId="1775E4EA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Психологически этот вывод Монтолиу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 xml:space="preserve">Кроче несостоятелен. Его конкретная версия была бы такой: мы не понимаем сначала предлог </w:t>
      </w:r>
      <w:r w:rsidRPr="00DD0A0C">
        <w:rPr>
          <w:rFonts w:ascii="Verdana" w:hAnsi="Verdana"/>
          <w:color w:val="000000"/>
          <w:sz w:val="20"/>
        </w:rPr>
        <w:t>en</w:t>
      </w:r>
      <w:r w:rsidRPr="00DD0A0C">
        <w:rPr>
          <w:rFonts w:ascii="Verdana" w:hAnsi="Verdana"/>
          <w:color w:val="000000"/>
          <w:sz w:val="20"/>
          <w:lang w:val="ru-RU"/>
        </w:rPr>
        <w:t xml:space="preserve">, затем артикль </w:t>
      </w:r>
      <w:r w:rsidRPr="00DD0A0C">
        <w:rPr>
          <w:rFonts w:ascii="Verdana" w:hAnsi="Verdana"/>
          <w:color w:val="000000"/>
          <w:sz w:val="20"/>
        </w:rPr>
        <w:t>un</w:t>
      </w:r>
      <w:r w:rsidRPr="00DD0A0C">
        <w:rPr>
          <w:rFonts w:ascii="Verdana" w:hAnsi="Verdana"/>
          <w:color w:val="000000"/>
          <w:sz w:val="20"/>
          <w:lang w:val="ru-RU"/>
        </w:rPr>
        <w:t xml:space="preserve">, потом имя существительное </w:t>
      </w:r>
      <w:r w:rsidRPr="00DD0A0C">
        <w:rPr>
          <w:rFonts w:ascii="Verdana" w:hAnsi="Verdana"/>
          <w:color w:val="000000"/>
          <w:sz w:val="20"/>
        </w:rPr>
        <w:t>lugar</w:t>
      </w:r>
      <w:r w:rsidRPr="00DD0A0C">
        <w:rPr>
          <w:rFonts w:ascii="Verdana" w:hAnsi="Verdana"/>
          <w:color w:val="000000"/>
          <w:sz w:val="20"/>
          <w:lang w:val="ru-RU"/>
        </w:rPr>
        <w:t xml:space="preserve"> и вслед за ним предлог </w:t>
      </w:r>
      <w:r w:rsidRPr="00DD0A0C">
        <w:rPr>
          <w:rFonts w:ascii="Verdana" w:hAnsi="Verdana"/>
          <w:color w:val="000000"/>
          <w:sz w:val="20"/>
        </w:rPr>
        <w:t>de</w:t>
      </w:r>
      <w:r w:rsidRPr="00DD0A0C">
        <w:rPr>
          <w:rFonts w:ascii="Verdana" w:hAnsi="Verdana"/>
          <w:color w:val="000000"/>
          <w:sz w:val="20"/>
          <w:lang w:val="ru-RU"/>
        </w:rPr>
        <w:t>; мы предпочитаем овладеть одним-единственным актом познания всей главой и даже всем произведением.</w:t>
      </w:r>
    </w:p>
    <w:p w14:paraId="27C8617A" w14:textId="5B55223E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Мне скажут, что я плутую и что смысл этого учения не психологический, а эстетический. На это я отвечу, что психологическая ошибка не может быть одновременно эстетической правотой. Кроме того, разве Шопенгауэр уже не сказал, что форма нашего интеллекта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время, узчайшая линия, представляющая нам вещи только по одной? Ужас этой тесноты в том, что поэмы, о которых Монтолиу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 xml:space="preserve">Кроче говорит с благоговением, достигают единства в слабости нашей памяти, но не в последовательной работе того, кто их написал, и не в работе того, кто их читает. Я сказал «ужас», потому что эта разнородность последовательности разрывает на части не только пространные сочинения, но и всякую написанную страницу. Близость к этой возможной истине была разумно высказана По в его рассуждении о поэтическом принципе, когда он постановил, что длинных поэм не существует и что </w:t>
      </w:r>
      <w:r w:rsidRPr="00DD0A0C">
        <w:rPr>
          <w:rFonts w:ascii="Verdana" w:hAnsi="Verdana"/>
          <w:color w:val="000000"/>
          <w:sz w:val="20"/>
          <w:lang w:val="ru-RU"/>
        </w:rPr>
        <w:lastRenderedPageBreak/>
        <w:t>«Потерянный рай» в действительности есть ряд кратких сочинений. Передам по-испански его мнение: «Если для сохранения единства произведения Мильтона, его целостности действия или впечатления, мы читаем его, как было бы необходимо, за один присест, результатом будет лишь непрерывное колебание возбуждения и упадка… Из этого следует, что конечное, совокупное или абсолютное действие лучшей эпопеи под солнцем неизбежно будет ничтожностью; и так оно и есть».</w:t>
      </w:r>
    </w:p>
    <w:p w14:paraId="4D5046BB" w14:textId="3F81F2B3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Какое мнение принять? Грамматики подразумевают, что мы по буквам, слово за словом, складываем понимание; последователи Кроче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что мы охватываем его одним магическим взглядом. Я не верю ни в одну из этих возможностей. Спиллер в своей прекраснейшей «Психологии»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замечу, что я сознательно употребляю этот эпитет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формулирует третий ответ. Я его резюмирую; я слишком хорошо знаю, что резюме придают ложный категорический и окончательный вид тому, что они сжимают.</w:t>
      </w:r>
    </w:p>
    <w:p w14:paraId="1BB663BB" w14:textId="0A3C1323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es-AR"/>
        </w:rPr>
      </w:pPr>
      <w:r w:rsidRPr="00DD0A0C">
        <w:rPr>
          <w:rFonts w:ascii="Verdana" w:hAnsi="Verdana"/>
          <w:color w:val="000000"/>
          <w:sz w:val="20"/>
          <w:lang w:val="ru-RU"/>
        </w:rPr>
        <w:t xml:space="preserve">Спиллер обращает внимание на структуру предложений и расчленяет их на небольшие синтаксические группы, соответствующие единицам представления. Так, в образцовой фразе, которую мы разобрали, очевидно, что два слова </w:t>
      </w:r>
      <w:r w:rsidRPr="00DD0A0C">
        <w:rPr>
          <w:rFonts w:ascii="Verdana" w:hAnsi="Verdana"/>
          <w:color w:val="000000"/>
          <w:sz w:val="20"/>
        </w:rPr>
        <w:t>la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Mancha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 xml:space="preserve">одно целое. Очевидно, что речь идёт об имени собственном, столь же неделимом для сознания, как </w:t>
      </w:r>
      <w:r w:rsidRPr="00DD0A0C">
        <w:rPr>
          <w:rFonts w:ascii="Verdana" w:hAnsi="Verdana"/>
          <w:color w:val="000000"/>
          <w:sz w:val="20"/>
        </w:rPr>
        <w:t>Castilla</w:t>
      </w:r>
      <w:r w:rsidRPr="00DD0A0C">
        <w:rPr>
          <w:rFonts w:ascii="Verdana" w:hAnsi="Verdana"/>
          <w:color w:val="000000"/>
          <w:sz w:val="20"/>
          <w:lang w:val="ru-RU"/>
        </w:rPr>
        <w:t xml:space="preserve">, или </w:t>
      </w:r>
      <w:r w:rsidRPr="00DD0A0C">
        <w:rPr>
          <w:rFonts w:ascii="Verdana" w:hAnsi="Verdana"/>
          <w:color w:val="000000"/>
          <w:sz w:val="20"/>
        </w:rPr>
        <w:t>las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Cinco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Esquinas</w:t>
      </w:r>
      <w:r w:rsidRPr="00DD0A0C">
        <w:rPr>
          <w:rFonts w:ascii="Verdana" w:hAnsi="Verdana"/>
          <w:color w:val="000000"/>
          <w:sz w:val="20"/>
          <w:lang w:val="ru-RU"/>
        </w:rPr>
        <w:t xml:space="preserve">, или </w:t>
      </w:r>
      <w:r w:rsidRPr="00DD0A0C">
        <w:rPr>
          <w:rFonts w:ascii="Verdana" w:hAnsi="Verdana"/>
          <w:color w:val="000000"/>
          <w:sz w:val="20"/>
        </w:rPr>
        <w:t>Buenos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Aires</w:t>
      </w:r>
      <w:r w:rsidRPr="00DD0A0C">
        <w:rPr>
          <w:rFonts w:ascii="Verdana" w:hAnsi="Verdana"/>
          <w:color w:val="000000"/>
          <w:sz w:val="20"/>
          <w:lang w:val="ru-RU"/>
        </w:rPr>
        <w:t xml:space="preserve">. Однако здесь единица представления больше: это выражение </w:t>
      </w:r>
      <w:r w:rsidRPr="00DD0A0C">
        <w:rPr>
          <w:rFonts w:ascii="Verdana" w:hAnsi="Verdana"/>
          <w:color w:val="000000"/>
          <w:sz w:val="20"/>
        </w:rPr>
        <w:t>de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la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Mancha</w:t>
      </w:r>
      <w:r w:rsidRPr="00DD0A0C">
        <w:rPr>
          <w:rFonts w:ascii="Verdana" w:hAnsi="Verdana"/>
          <w:color w:val="000000"/>
          <w:sz w:val="20"/>
          <w:lang w:val="ru-RU"/>
        </w:rPr>
        <w:t xml:space="preserve">, синонимичное, как мы уже заметили, слову </w:t>
      </w:r>
      <w:r w:rsidRPr="00DD0A0C">
        <w:rPr>
          <w:rFonts w:ascii="Verdana" w:hAnsi="Verdana"/>
          <w:color w:val="000000"/>
          <w:sz w:val="20"/>
        </w:rPr>
        <w:t>manchego</w:t>
      </w:r>
      <w:r w:rsidRPr="00DD0A0C">
        <w:rPr>
          <w:rFonts w:ascii="Verdana" w:hAnsi="Verdana"/>
          <w:color w:val="000000"/>
          <w:sz w:val="20"/>
          <w:lang w:val="ru-RU"/>
        </w:rPr>
        <w:t xml:space="preserve">. В латыни сосуществовали две формулы принадлежности, и чтобы сказать «доблесть Цезаря», были </w:t>
      </w:r>
      <w:r w:rsidRPr="00DD0A0C">
        <w:rPr>
          <w:rFonts w:ascii="Verdana" w:hAnsi="Verdana"/>
          <w:color w:val="000000"/>
          <w:sz w:val="20"/>
        </w:rPr>
        <w:t>virtus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Caesarea</w:t>
      </w:r>
      <w:r w:rsidRPr="00DD0A0C">
        <w:rPr>
          <w:rFonts w:ascii="Verdana" w:hAnsi="Verdana"/>
          <w:color w:val="000000"/>
          <w:sz w:val="20"/>
          <w:lang w:val="ru-RU"/>
        </w:rPr>
        <w:t xml:space="preserve"> и </w:t>
      </w:r>
      <w:r w:rsidRPr="00DD0A0C">
        <w:rPr>
          <w:rFonts w:ascii="Verdana" w:hAnsi="Verdana"/>
          <w:color w:val="000000"/>
          <w:sz w:val="20"/>
        </w:rPr>
        <w:t>virtus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Caesaris</w:t>
      </w:r>
      <w:r w:rsidRPr="00DD0A0C">
        <w:rPr>
          <w:rFonts w:ascii="Verdana" w:hAnsi="Verdana"/>
          <w:color w:val="000000"/>
          <w:sz w:val="20"/>
          <w:lang w:val="ru-RU"/>
        </w:rPr>
        <w:t>; в русском языке всякое имя существительное может измениться в имя прилагательное. Другая единица для понимания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 xml:space="preserve">выражение </w:t>
      </w:r>
      <w:r w:rsidRPr="00DD0A0C">
        <w:rPr>
          <w:rFonts w:ascii="Verdana" w:hAnsi="Verdana"/>
          <w:color w:val="000000"/>
          <w:sz w:val="20"/>
        </w:rPr>
        <w:t>no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quiero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acordarme</w:t>
      </w:r>
      <w:r w:rsidRPr="00DD0A0C">
        <w:rPr>
          <w:rFonts w:ascii="Verdana" w:hAnsi="Verdana"/>
          <w:color w:val="000000"/>
          <w:sz w:val="20"/>
          <w:lang w:val="ru-RU"/>
        </w:rPr>
        <w:t xml:space="preserve">, к которому мы, возможно, прибавим и слово </w:t>
      </w:r>
      <w:r w:rsidRPr="00DD0A0C">
        <w:rPr>
          <w:rFonts w:ascii="Verdana" w:hAnsi="Verdana"/>
          <w:color w:val="000000"/>
          <w:sz w:val="20"/>
        </w:rPr>
        <w:t>de</w:t>
      </w:r>
      <w:r w:rsidRPr="00DD0A0C">
        <w:rPr>
          <w:rFonts w:ascii="Verdana" w:hAnsi="Verdana"/>
          <w:color w:val="000000"/>
          <w:sz w:val="20"/>
          <w:lang w:val="ru-RU"/>
        </w:rPr>
        <w:t xml:space="preserve">, поскольку активный глагол </w:t>
      </w:r>
      <w:r w:rsidRPr="00DD0A0C">
        <w:rPr>
          <w:rFonts w:ascii="Verdana" w:hAnsi="Verdana"/>
          <w:color w:val="000000"/>
          <w:sz w:val="20"/>
        </w:rPr>
        <w:t>recordar</w:t>
      </w:r>
      <w:r w:rsidRPr="00DD0A0C">
        <w:rPr>
          <w:rFonts w:ascii="Verdana" w:hAnsi="Verdana"/>
          <w:color w:val="000000"/>
          <w:sz w:val="20"/>
          <w:lang w:val="ru-RU"/>
        </w:rPr>
        <w:t xml:space="preserve"> и возвратный глагол с предлогом </w:t>
      </w:r>
      <w:r w:rsidRPr="00DD0A0C">
        <w:rPr>
          <w:rFonts w:ascii="Verdana" w:hAnsi="Verdana"/>
          <w:color w:val="000000"/>
          <w:sz w:val="20"/>
        </w:rPr>
        <w:t>acordarse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de</w:t>
      </w:r>
      <w:r w:rsidRPr="00DD0A0C">
        <w:rPr>
          <w:rFonts w:ascii="Verdana" w:hAnsi="Verdana"/>
          <w:color w:val="000000"/>
          <w:sz w:val="20"/>
          <w:lang w:val="ru-RU"/>
        </w:rPr>
        <w:t xml:space="preserve"> различны только в грамматиках. Хорошее доказательство произвольности нашего письма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 xml:space="preserve">то, что </w:t>
      </w:r>
      <w:r w:rsidRPr="00DD0A0C">
        <w:rPr>
          <w:rFonts w:ascii="Verdana" w:hAnsi="Verdana"/>
          <w:color w:val="000000"/>
          <w:sz w:val="20"/>
        </w:rPr>
        <w:t>acordarme</w:t>
      </w:r>
      <w:r w:rsidRPr="00DD0A0C">
        <w:rPr>
          <w:rFonts w:ascii="Verdana" w:hAnsi="Verdana"/>
          <w:color w:val="000000"/>
          <w:sz w:val="20"/>
          <w:lang w:val="ru-RU"/>
        </w:rPr>
        <w:t xml:space="preserve"> мы делаем одним словом, а </w:t>
      </w:r>
      <w:r w:rsidRPr="00DD0A0C">
        <w:rPr>
          <w:rFonts w:ascii="Verdana" w:hAnsi="Verdana"/>
          <w:color w:val="000000"/>
          <w:sz w:val="20"/>
        </w:rPr>
        <w:t>me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acuerdo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 xml:space="preserve">двумя. </w:t>
      </w:r>
      <w:r w:rsidRPr="00DD0A0C">
        <w:rPr>
          <w:rFonts w:ascii="Verdana" w:hAnsi="Verdana"/>
          <w:color w:val="000000"/>
          <w:sz w:val="20"/>
        </w:rPr>
        <w:t>Продолжая</w:t>
      </w:r>
      <w:r w:rsidRPr="00DD0A0C">
        <w:rPr>
          <w:rFonts w:ascii="Verdana" w:hAnsi="Verdana"/>
          <w:color w:val="000000"/>
          <w:sz w:val="20"/>
          <w:lang w:val="es-AR"/>
        </w:rPr>
        <w:t xml:space="preserve"> </w:t>
      </w:r>
      <w:r w:rsidRPr="00DD0A0C">
        <w:rPr>
          <w:rFonts w:ascii="Verdana" w:hAnsi="Verdana"/>
          <w:color w:val="000000"/>
          <w:sz w:val="20"/>
        </w:rPr>
        <w:t>разбор</w:t>
      </w:r>
      <w:r w:rsidRPr="00DD0A0C">
        <w:rPr>
          <w:rFonts w:ascii="Verdana" w:hAnsi="Verdana"/>
          <w:color w:val="000000"/>
          <w:sz w:val="20"/>
          <w:lang w:val="es-AR"/>
        </w:rPr>
        <w:t xml:space="preserve">, </w:t>
      </w:r>
      <w:r w:rsidRPr="00DD0A0C">
        <w:rPr>
          <w:rFonts w:ascii="Verdana" w:hAnsi="Verdana"/>
          <w:color w:val="000000"/>
          <w:sz w:val="20"/>
        </w:rPr>
        <w:t>разделим</w:t>
      </w:r>
      <w:r w:rsidRPr="00DD0A0C">
        <w:rPr>
          <w:rFonts w:ascii="Verdana" w:hAnsi="Verdana"/>
          <w:color w:val="000000"/>
          <w:sz w:val="20"/>
          <w:lang w:val="es-AR"/>
        </w:rPr>
        <w:t xml:space="preserve"> </w:t>
      </w:r>
      <w:r w:rsidRPr="00DD0A0C">
        <w:rPr>
          <w:rFonts w:ascii="Verdana" w:hAnsi="Verdana"/>
          <w:color w:val="000000"/>
          <w:sz w:val="20"/>
        </w:rPr>
        <w:t>наш</w:t>
      </w:r>
      <w:r w:rsidRPr="00DD0A0C">
        <w:rPr>
          <w:rFonts w:ascii="Verdana" w:hAnsi="Verdana"/>
          <w:color w:val="000000"/>
          <w:sz w:val="20"/>
          <w:lang w:val="es-AR"/>
        </w:rPr>
        <w:t xml:space="preserve"> </w:t>
      </w:r>
      <w:r w:rsidRPr="00DD0A0C">
        <w:rPr>
          <w:rFonts w:ascii="Verdana" w:hAnsi="Verdana"/>
          <w:color w:val="000000"/>
          <w:sz w:val="20"/>
        </w:rPr>
        <w:t>период</w:t>
      </w:r>
      <w:r w:rsidRPr="00DD0A0C">
        <w:rPr>
          <w:rFonts w:ascii="Verdana" w:hAnsi="Verdana"/>
          <w:color w:val="000000"/>
          <w:sz w:val="20"/>
          <w:lang w:val="es-AR"/>
        </w:rPr>
        <w:t xml:space="preserve"> </w:t>
      </w:r>
      <w:r w:rsidRPr="00DD0A0C">
        <w:rPr>
          <w:rFonts w:ascii="Verdana" w:hAnsi="Verdana"/>
          <w:color w:val="000000"/>
          <w:sz w:val="20"/>
        </w:rPr>
        <w:t>на</w:t>
      </w:r>
      <w:r w:rsidRPr="00DD0A0C">
        <w:rPr>
          <w:rFonts w:ascii="Verdana" w:hAnsi="Verdana"/>
          <w:color w:val="000000"/>
          <w:sz w:val="20"/>
          <w:lang w:val="es-AR"/>
        </w:rPr>
        <w:t xml:space="preserve"> </w:t>
      </w:r>
      <w:r w:rsidRPr="00DD0A0C">
        <w:rPr>
          <w:rFonts w:ascii="Verdana" w:hAnsi="Verdana"/>
          <w:color w:val="000000"/>
          <w:sz w:val="20"/>
        </w:rPr>
        <w:t>четыре</w:t>
      </w:r>
      <w:r w:rsidRPr="00DD0A0C">
        <w:rPr>
          <w:rFonts w:ascii="Verdana" w:hAnsi="Verdana"/>
          <w:color w:val="000000"/>
          <w:sz w:val="20"/>
          <w:lang w:val="es-AR"/>
        </w:rPr>
        <w:t xml:space="preserve"> </w:t>
      </w:r>
      <w:r w:rsidRPr="00DD0A0C">
        <w:rPr>
          <w:rFonts w:ascii="Verdana" w:hAnsi="Verdana"/>
          <w:color w:val="000000"/>
          <w:sz w:val="20"/>
        </w:rPr>
        <w:t>единицы</w:t>
      </w:r>
      <w:r w:rsidRPr="00DD0A0C">
        <w:rPr>
          <w:rFonts w:ascii="Verdana" w:hAnsi="Verdana"/>
          <w:color w:val="000000"/>
          <w:sz w:val="20"/>
          <w:lang w:val="es-AR"/>
        </w:rPr>
        <w:t xml:space="preserve">: En un lugar / de la Mancha / de cuyo nombre / no quiero acordarme, </w:t>
      </w:r>
      <w:r w:rsidRPr="00DD0A0C">
        <w:rPr>
          <w:rFonts w:ascii="Verdana" w:hAnsi="Verdana"/>
          <w:color w:val="000000"/>
          <w:sz w:val="20"/>
        </w:rPr>
        <w:t>или</w:t>
      </w:r>
      <w:r w:rsidRPr="00DD0A0C">
        <w:rPr>
          <w:rFonts w:ascii="Verdana" w:hAnsi="Verdana"/>
          <w:color w:val="000000"/>
          <w:sz w:val="20"/>
          <w:lang w:val="es-AR"/>
        </w:rPr>
        <w:t xml:space="preserve"> En un lugar de / la Mancha / de cuyo nombre no quiero acordarme.</w:t>
      </w:r>
    </w:p>
    <w:p w14:paraId="3F1CB0B6" w14:textId="44E86341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Я применил, быть может с чрезмерной свободой, интроспективный метод Спиллера. Другой метод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тот, который утверждает, что всякое слово значимо,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я уже свёл к абсурду, невольно, честно и внимательно, в первой половине этого рассуждения. Не знаю, прав ли Спиллер; мне достаточно показать хорошую применимость его тезиса.</w:t>
      </w:r>
    </w:p>
    <w:p w14:paraId="4AB3FD4C" w14:textId="26187F6D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 xml:space="preserve">Выберем многократно обсуждавшуюся проблему: должно ли имя существительное ставиться после имени прилагательного, как в германских языках, или прилагательное после существительного, как в испанском. В Англии обязательно говорят </w:t>
      </w:r>
      <w:r w:rsidRPr="00DD0A0C">
        <w:rPr>
          <w:rFonts w:ascii="Verdana" w:hAnsi="Verdana"/>
          <w:color w:val="000000"/>
          <w:sz w:val="20"/>
        </w:rPr>
        <w:t>a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brown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horse</w:t>
      </w:r>
      <w:r w:rsidRPr="00DD0A0C">
        <w:rPr>
          <w:rFonts w:ascii="Verdana" w:hAnsi="Verdana"/>
          <w:color w:val="000000"/>
          <w:sz w:val="20"/>
          <w:lang w:val="ru-RU"/>
        </w:rPr>
        <w:t>, «бурый конь»; мы, тоже обязательно, ставим прилагательное после существительного. Герберт Спенсер утверждает, что синтаксическая привычка английского удобнее, и обосновывает это так: стоит услышать слово «конь», чтобы представить его; если потом нам говорят, что он бурый, эта добавка не всегда согласуется с уже намеченным или почти сформированным образом. То есть нам придётся исправлять образ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задача, которую предварительное положение прилагательного устраняет. «Бурый»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 xml:space="preserve">понятие отвлечённое и лишь подготавливает сознание. Противники могут возразить, что понятия «конь» и «бурый» для духа одинаково конкретны или одинаково отвлечённы. Однако правда в том, что спор абсурден: слитые символы </w:t>
      </w:r>
      <w:r w:rsidRPr="00DD0A0C">
        <w:rPr>
          <w:rFonts w:ascii="Verdana" w:hAnsi="Verdana"/>
          <w:color w:val="000000"/>
          <w:sz w:val="20"/>
        </w:rPr>
        <w:t>caballo</w:t>
      </w:r>
      <w:r w:rsidRPr="00DD0A0C">
        <w:rPr>
          <w:rFonts w:ascii="Verdana" w:hAnsi="Verdana"/>
          <w:color w:val="000000"/>
          <w:sz w:val="20"/>
          <w:lang w:val="ru-RU"/>
        </w:rPr>
        <w:t>-</w:t>
      </w:r>
      <w:r w:rsidRPr="00DD0A0C">
        <w:rPr>
          <w:rFonts w:ascii="Verdana" w:hAnsi="Verdana"/>
          <w:color w:val="000000"/>
          <w:sz w:val="20"/>
        </w:rPr>
        <w:t>colorado</w:t>
      </w:r>
      <w:r w:rsidRPr="00DD0A0C">
        <w:rPr>
          <w:rFonts w:ascii="Verdana" w:hAnsi="Verdana"/>
          <w:color w:val="000000"/>
          <w:sz w:val="20"/>
          <w:lang w:val="ru-RU"/>
        </w:rPr>
        <w:t xml:space="preserve"> и </w:t>
      </w:r>
      <w:r w:rsidRPr="00DD0A0C">
        <w:rPr>
          <w:rFonts w:ascii="Verdana" w:hAnsi="Verdana"/>
          <w:color w:val="000000"/>
          <w:sz w:val="20"/>
        </w:rPr>
        <w:t>brown</w:t>
      </w:r>
      <w:r w:rsidRPr="00DD0A0C">
        <w:rPr>
          <w:rFonts w:ascii="Verdana" w:hAnsi="Verdana"/>
          <w:color w:val="000000"/>
          <w:sz w:val="20"/>
          <w:lang w:val="ru-RU"/>
        </w:rPr>
        <w:t>-</w:t>
      </w:r>
      <w:r w:rsidRPr="00DD0A0C">
        <w:rPr>
          <w:rFonts w:ascii="Verdana" w:hAnsi="Verdana"/>
          <w:color w:val="000000"/>
          <w:sz w:val="20"/>
        </w:rPr>
        <w:t>horse</w:t>
      </w:r>
      <w:r w:rsidRPr="00DD0A0C">
        <w:rPr>
          <w:rFonts w:ascii="Verdana" w:hAnsi="Verdana"/>
          <w:color w:val="000000"/>
          <w:sz w:val="20"/>
          <w:lang w:val="ru-RU"/>
        </w:rPr>
        <w:t xml:space="preserve"> уже являются единицами мысли.</w:t>
      </w:r>
    </w:p>
    <w:p w14:paraId="76093BE0" w14:textId="77777777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Сколько единиц мысли включает язык? На этот вопрос невозможно ответить. Для шахматиста единицами являются выражения «взять на проходе», «длинная рокировка», «ферзевый гамбит», «пешка на четыре короля», «конь король три слон»; для начинающего это подлинные предложения постепенного понимания.</w:t>
      </w:r>
    </w:p>
    <w:p w14:paraId="5B4AF676" w14:textId="77777777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Опись всех представительных единиц невозможна; их упорядочение или классификация тоже невозможны. Доказать последнее будет ближайшей задачей моего рассуждения.</w:t>
      </w:r>
    </w:p>
    <w:p w14:paraId="0C2E8B85" w14:textId="77777777" w:rsidR="00DD0A0C" w:rsidRDefault="00DD0A0C" w:rsidP="00DD0A0C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sz w:val="20"/>
        </w:rPr>
      </w:pPr>
    </w:p>
    <w:p w14:paraId="6DD1378A" w14:textId="77777777" w:rsidR="00DD0A0C" w:rsidRDefault="00DD0A0C" w:rsidP="00DD0A0C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sz w:val="20"/>
        </w:rPr>
      </w:pPr>
    </w:p>
    <w:p w14:paraId="7AF35C71" w14:textId="0E4C9D5A" w:rsidR="00DD0A0C" w:rsidRDefault="00DD0A0C" w:rsidP="00DD0A0C">
      <w:pPr>
        <w:pStyle w:val="NormalWeb"/>
        <w:keepNext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sz w:val="20"/>
        </w:rPr>
      </w:pPr>
      <w:r w:rsidRPr="00DD0A0C">
        <w:rPr>
          <w:rFonts w:ascii="Verdana" w:hAnsi="Verdana"/>
          <w:color w:val="000000"/>
          <w:sz w:val="20"/>
        </w:rPr>
        <w:lastRenderedPageBreak/>
        <w:t>II</w:t>
      </w:r>
    </w:p>
    <w:p w14:paraId="2C3D2EAF" w14:textId="77777777" w:rsidR="00DD0A0C" w:rsidRPr="00DD0A0C" w:rsidRDefault="00DD0A0C" w:rsidP="00DD0A0C">
      <w:pPr>
        <w:pStyle w:val="NormalWeb"/>
        <w:keepNext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sz w:val="20"/>
          <w:lang w:val="ru-RU"/>
        </w:rPr>
      </w:pPr>
    </w:p>
    <w:p w14:paraId="652E581B" w14:textId="11C07BDB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Определение слова, которое я дам,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как и другие,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будет словесным, то есть тоже состоящим из слов, иначе говоря, болтливым. Мы остановились на том, что определяющее в слове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его функция представительной единицы, и на изменчивости и случайности этой функции. Так, термин «имманентность»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 xml:space="preserve">слово для упражнявшихся в метафизике, но подлинное предложение для того, кто, не зная его, слышит его и должен разобрать на </w:t>
      </w:r>
      <w:r w:rsidRPr="00DD0A0C">
        <w:rPr>
          <w:rFonts w:ascii="Verdana" w:hAnsi="Verdana"/>
          <w:color w:val="000000"/>
          <w:sz w:val="20"/>
        </w:rPr>
        <w:t>in</w:t>
      </w:r>
      <w:r w:rsidRPr="00DD0A0C">
        <w:rPr>
          <w:rFonts w:ascii="Verdana" w:hAnsi="Verdana"/>
          <w:color w:val="000000"/>
          <w:sz w:val="20"/>
          <w:lang w:val="ru-RU"/>
        </w:rPr>
        <w:t xml:space="preserve"> и </w:t>
      </w:r>
      <w:r w:rsidRPr="00DD0A0C">
        <w:rPr>
          <w:rFonts w:ascii="Verdana" w:hAnsi="Verdana"/>
          <w:color w:val="000000"/>
          <w:sz w:val="20"/>
        </w:rPr>
        <w:t>manere</w:t>
      </w:r>
      <w:r w:rsidRPr="00DD0A0C">
        <w:rPr>
          <w:rFonts w:ascii="Verdana" w:hAnsi="Verdana"/>
          <w:color w:val="000000"/>
          <w:sz w:val="20"/>
          <w:lang w:val="ru-RU"/>
        </w:rPr>
        <w:t xml:space="preserve">: «внутри оставаться». </w:t>
      </w:r>
      <w:r w:rsidRPr="00DD0A0C">
        <w:rPr>
          <w:rFonts w:ascii="Verdana" w:hAnsi="Verdana"/>
          <w:color w:val="000000"/>
          <w:sz w:val="20"/>
        </w:rPr>
        <w:t>Innebleibendes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Werk</w:t>
      </w:r>
      <w:r w:rsidRPr="00DD0A0C">
        <w:rPr>
          <w:rFonts w:ascii="Verdana" w:hAnsi="Verdana"/>
          <w:color w:val="000000"/>
          <w:sz w:val="20"/>
          <w:lang w:val="ru-RU"/>
        </w:rPr>
        <w:t>, «внутри-пребывающее действие», с прекрасной тщательностью перевёл мастер Экхарт. И наоборот, почти все предложения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 xml:space="preserve">предложения только для грамматического анализа, но подлинные слова, то есть представительные единицы, для того, кто много раз их слышит. Сказать </w:t>
      </w:r>
      <w:r w:rsidRPr="00DD0A0C">
        <w:rPr>
          <w:rFonts w:ascii="Verdana" w:hAnsi="Verdana"/>
          <w:color w:val="000000"/>
          <w:sz w:val="20"/>
        </w:rPr>
        <w:t>En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un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lugar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de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la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Mancha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почти то же, что сказать «посёлок», «деревушка»; последнее лучше из-за испанского оттенка. Сказать «Жадность в руках судьбы бросается в море»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значит вызвать одно представление; разное, конечно, в зависимости от слушателей, но всё же одно.</w:t>
      </w:r>
    </w:p>
    <w:p w14:paraId="3DF6E3CB" w14:textId="0CE5FB00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Есть предложения, которые подобны корням и из которых всегда могут быть выведены другие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с волей к новизне или без неё, но с настолько явным производным характером, что никого они не обманут. Пусть это будет привычнейшее выражение «серебряная луна». Бесполезно выжимать из него новизну, меняя добавку; бесполезно писать «золотая луна», «янтарная», «каменная», «слоновая», «земляная», «песчаная», «водяная», «серная», «пустынная», «тростниковая», «табачная», «ржавая». Читатель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который уже тоже литератор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всегда заподозрит, что мы играем в варианты, и почувствует самое большее антитезу между разочарованной добавкой «земляная луна» или, возможно, магической «водяная луна» и привычной «серебряной». Приведу другой случай. Это сентенция Жубера, сочувственно цитируемая Мэтью Арнольдом в «</w:t>
      </w:r>
      <w:r w:rsidRPr="00DD0A0C">
        <w:rPr>
          <w:rFonts w:ascii="Verdana" w:hAnsi="Verdana"/>
          <w:color w:val="000000"/>
          <w:sz w:val="20"/>
        </w:rPr>
        <w:t>Critical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Essays</w:t>
      </w:r>
      <w:r w:rsidRPr="00DD0A0C">
        <w:rPr>
          <w:rFonts w:ascii="Verdana" w:hAnsi="Verdana"/>
          <w:color w:val="000000"/>
          <w:sz w:val="20"/>
          <w:lang w:val="ru-RU"/>
        </w:rPr>
        <w:t xml:space="preserve">», </w:t>
      </w:r>
      <w:r w:rsidRPr="00DD0A0C">
        <w:rPr>
          <w:rFonts w:ascii="Verdana" w:hAnsi="Verdana"/>
          <w:color w:val="000000"/>
          <w:sz w:val="20"/>
        </w:rPr>
        <w:t>VII</w:t>
      </w:r>
      <w:r w:rsidRPr="00DD0A0C">
        <w:rPr>
          <w:rFonts w:ascii="Verdana" w:hAnsi="Verdana"/>
          <w:color w:val="000000"/>
          <w:sz w:val="20"/>
          <w:lang w:val="ru-RU"/>
        </w:rPr>
        <w:t>. Она касается Боссюэ и звучит так: «Более чем человек, он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человеческая природа, с умеренностью святого, справедливостью епископа, благоразумием доктора и мощью великого духа». Здесь Жубер играл в варианты не без бесстыдства; он написал, а возможно и подумал, «умеренность святого», и тотчас та роковая сила, которая есть в языке, овладела им и сцепила ещё три члена, все симметрического вида и все заполненные небрежно. Как если бы он утверждал: «…с умеренностью святого, этим одного другого, невесть чем невесть кого и чем угодно великого духа». Оригинал не менее смутен, чем эта конструкция; звучные члены обоих равноценны уже не словам, а торжественным имитациям слов. Если проза, с её минимальным присутствием ритма, приносит такое рабство, то чего же не принесёт стих, который простодушно и опрометчиво добавляет ещё и другие зависимости к тем, о которых он не подозревает, но которые всегда подстерегают?</w:t>
      </w:r>
    </w:p>
    <w:p w14:paraId="438DB05F" w14:textId="41262931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Что касается определений слова, оно настолько неточно, что защищаемое здесь неортодоксальное понятие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слово равно представлению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 xml:space="preserve">может уместиться в санкционированной формуле: «Словом называется слог или совокупность слогов, имеющая самостоятельное существование для выражения идеи». Так оно, конечно, если определяющим в этих совокупностях являются не пробелы между одним псевдословом на письме и другими. Из этой орфографической галлюцинации следует, что хотя </w:t>
      </w:r>
      <w:r w:rsidRPr="00DD0A0C">
        <w:rPr>
          <w:rFonts w:ascii="Verdana" w:hAnsi="Verdana"/>
          <w:color w:val="000000"/>
          <w:sz w:val="20"/>
        </w:rPr>
        <w:t>manchego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 xml:space="preserve">одно слово, </w:t>
      </w:r>
      <w:r w:rsidRPr="00DD0A0C">
        <w:rPr>
          <w:rFonts w:ascii="Verdana" w:hAnsi="Verdana"/>
          <w:color w:val="000000"/>
          <w:sz w:val="20"/>
        </w:rPr>
        <w:t>de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la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Mancha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три.</w:t>
      </w:r>
    </w:p>
    <w:p w14:paraId="2DB40D3F" w14:textId="031D2F0E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Я говорил о роковой власти языка. Человек, погружаясь в доверительные воспоминания, рассказывает о невесте, которая у него была, и превозносит её так: «Она была так красива, что…»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и этот союз, эта незначащая частица, уже принуждает его к гиперболе, ко лжи, к выдумыванию случая. Писатель говорит о глазах девушки: «Глаза как…»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и считает необходимым привести особый предмет сравнения. Он забывает, что поэзия уже осуществлена этим «как»; забывает, что сам акт сравнения, то есть предположение трудных достоинств, мыслимых только через посредство другого, уже поэтичен. Смирившись, он пишет: «глаза как солнца».</w:t>
      </w:r>
    </w:p>
    <w:p w14:paraId="6F6CF077" w14:textId="4A76E6F5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Лингвистика раскладывает эту фразу на две категории: семантемы, слова представления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«глаза», «солнца»,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 xml:space="preserve">и морфемы, простые шестерёнки синтаксиса. «Как» кажется ей морфемой, хотя весь эмоциональный климат фразы определяется именно им. «Глаза как солнца» представляется ей операцией рассудка, </w:t>
      </w:r>
      <w:r w:rsidRPr="00DD0A0C">
        <w:rPr>
          <w:rFonts w:ascii="Verdana" w:hAnsi="Verdana"/>
          <w:color w:val="000000"/>
          <w:sz w:val="20"/>
          <w:lang w:val="ru-RU"/>
        </w:rPr>
        <w:lastRenderedPageBreak/>
        <w:t>проблематическим суждением, связывающим понятие глаз с понятием солнца. Всякий интуитивно знает, что это неверно. Знает, что ему не надо воображать солнце и что намерение фразы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обозначить глаза, которые, хотелось бы, всегда смотрели на меня, или, иначе, глаза, с обладательницей которых я хочу быть в добрых отношениях. Это фраза, уходящая от анализа.</w:t>
      </w:r>
    </w:p>
    <w:p w14:paraId="4152097B" w14:textId="02971AC4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Полезная вещь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резюме. Мною были выдвинуты два положения, одно отрицающее другое. Первое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несуществование грамматических категорий или частей речи и замена их представительными единицами, которые могут состоять из одного обычного слова или из многих. Представление не имеет синтаксиса. Пусть кто-нибудь научит меня не смешивать полёт птицы с птицей, которая летит. Второе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власть синтаксической непрерывности над речью. Эта власть постыдна, поскольку мы знаем, что синтаксис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ничто. Антиномия глубока. Неспособность попасть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невозможность попасть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в решение есть общая трагедия всякого письма. Я принимаю эту трагедию, это предательское отклонение сказанного, это неполное думание о чём бы то ни было.</w:t>
      </w:r>
    </w:p>
    <w:p w14:paraId="03427E17" w14:textId="531CDF8C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Были предприняты две попытки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обе приговорённые к смерти,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чтобы нас спасти. Одна была отчаянной попыткой Луллия, который искал парадоксального убежища в самом сердце случайности; другая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 xml:space="preserve">попыткой Спинозы. Луллий, как говорят, по наущению Иисуса, изобрёл так называемую машину мышления, нечто вроде прославленного лотерейного барабана, хотя и с иным механизмом; Спиноза счёл достаточными не более восьми определений и семи аксиом, чтобы выровнять для нас, </w:t>
      </w:r>
      <w:r w:rsidRPr="00DD0A0C">
        <w:rPr>
          <w:rFonts w:ascii="Verdana" w:hAnsi="Verdana"/>
          <w:color w:val="000000"/>
          <w:sz w:val="20"/>
        </w:rPr>
        <w:t>ordine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geometrico</w:t>
      </w:r>
      <w:r w:rsidRPr="00DD0A0C">
        <w:rPr>
          <w:rFonts w:ascii="Verdana" w:hAnsi="Verdana"/>
          <w:color w:val="000000"/>
          <w:sz w:val="20"/>
          <w:lang w:val="ru-RU"/>
        </w:rPr>
        <w:t>, вселенную. Как видно, ни этот, со своей геометризированной метафизикой, ни тот, со своим алфавитом, переводимым в слова, а слова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в предложения, не смогли обойти язык. Оба питали им свои системы. Обойти язык могут только ангелы, которые беседуют посредством умопостигаемых видов, то есть прямыми представлениями без всякого служения слов.</w:t>
      </w:r>
    </w:p>
    <w:p w14:paraId="28EBF9FF" w14:textId="11F37E02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А мы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никогда не ангелы, мы, словесные, мы, на этой низкой, относительной земле пишущие, мы, в глубине думающие, что восхождение к печатным буквам есть высшая реальность опыта? Пусть с нами будет добродетель смирения, к которой мы должны смириться. Она станет нашей судьбой: привыкнуть к синтаксису, к его предательской сцепке, к неточности, к «может быть», к чрезмерным ударениям, к «но», к полушарию лжи и тени в нашей речи. И признать, не без некоторого иронического разочарования, что наименее невозможная классификация нашего языка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механическая: предложения действительные, страдательные, герундиальные, безличные и все прочие.</w:t>
      </w:r>
    </w:p>
    <w:p w14:paraId="7FE2639B" w14:textId="39AD9CE8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Различие между стилями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это различие их синтаксической привычки. Очевидно, что на каркасе одной фразы можно сделать много фраз. Я уже отметил, как из «серебряной луны» вышла «песчаная луна»; последняя, при возможном содействии употребления, могла бы подняться от простого варианта до самостоятельного представления. Не оригинальными интуициями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их мало,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а вариациями, случайностями и шалостями обычно питается язык. Язык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то есть, унизительно говоря, мышление.</w:t>
      </w:r>
    </w:p>
    <w:p w14:paraId="2B143C74" w14:textId="61674F88" w:rsidR="00DD0A0C" w:rsidRPr="00DD0A0C" w:rsidRDefault="00DD0A0C" w:rsidP="00DD0A0C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DD0A0C">
        <w:rPr>
          <w:rFonts w:ascii="Verdana" w:hAnsi="Verdana"/>
          <w:color w:val="000000"/>
          <w:sz w:val="20"/>
          <w:lang w:val="ru-RU"/>
        </w:rPr>
        <w:t>Не следует думать об упорядочении по сходству идей. Возможных упорядочений слишком много, чтобы какое-либо из них было единственным. Все идеи могут быть синонимическими словами для искусства: их климат, их эмоциональная температура часто общие. Об этой невозможности психологической классификации я больше говорить не буду: это разочарование ясно показывает алфавитная организация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дезорганизация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DD0A0C">
        <w:rPr>
          <w:rFonts w:ascii="Verdana" w:hAnsi="Verdana"/>
          <w:color w:val="000000"/>
          <w:sz w:val="20"/>
          <w:lang w:val="ru-RU"/>
        </w:rPr>
        <w:t>словарей. Фриц Маутнер в «</w:t>
      </w:r>
      <w:r w:rsidRPr="00DD0A0C">
        <w:rPr>
          <w:rFonts w:ascii="Verdana" w:hAnsi="Verdana"/>
          <w:color w:val="000000"/>
          <w:sz w:val="20"/>
        </w:rPr>
        <w:t>W</w:t>
      </w:r>
      <w:r w:rsidRPr="00DD0A0C">
        <w:rPr>
          <w:rFonts w:ascii="Verdana" w:hAnsi="Verdana"/>
          <w:color w:val="000000"/>
          <w:sz w:val="20"/>
          <w:lang w:val="ru-RU"/>
        </w:rPr>
        <w:t>ö</w:t>
      </w:r>
      <w:r w:rsidRPr="00DD0A0C">
        <w:rPr>
          <w:rFonts w:ascii="Verdana" w:hAnsi="Verdana"/>
          <w:color w:val="000000"/>
          <w:sz w:val="20"/>
        </w:rPr>
        <w:t>rterbuch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der</w:t>
      </w:r>
      <w:r w:rsidRPr="00DD0A0C">
        <w:rPr>
          <w:rFonts w:ascii="Verdana" w:hAnsi="Verdana"/>
          <w:color w:val="000000"/>
          <w:sz w:val="20"/>
          <w:lang w:val="ru-RU"/>
        </w:rPr>
        <w:t xml:space="preserve"> </w:t>
      </w:r>
      <w:r w:rsidRPr="00DD0A0C">
        <w:rPr>
          <w:rFonts w:ascii="Verdana" w:hAnsi="Verdana"/>
          <w:color w:val="000000"/>
          <w:sz w:val="20"/>
        </w:rPr>
        <w:t>Philosophie</w:t>
      </w:r>
      <w:r w:rsidRPr="00DD0A0C">
        <w:rPr>
          <w:rFonts w:ascii="Verdana" w:hAnsi="Verdana"/>
          <w:color w:val="000000"/>
          <w:sz w:val="20"/>
          <w:lang w:val="ru-RU"/>
        </w:rPr>
        <w:t>», том первый, страницы 379</w:t>
      </w:r>
      <w:r>
        <w:rPr>
          <w:rFonts w:ascii="Verdana" w:hAnsi="Verdana"/>
          <w:color w:val="000000"/>
          <w:sz w:val="20"/>
          <w:lang w:val="ru-RU"/>
        </w:rPr>
        <w:t>—</w:t>
      </w:r>
      <w:r w:rsidRPr="00DD0A0C">
        <w:rPr>
          <w:rFonts w:ascii="Verdana" w:hAnsi="Verdana"/>
          <w:color w:val="000000"/>
          <w:sz w:val="20"/>
          <w:lang w:val="ru-RU"/>
        </w:rPr>
        <w:t>401, доказывает это с прекрасной насмешкой.</w:t>
      </w:r>
    </w:p>
    <w:p w14:paraId="2749D926" w14:textId="56561A46" w:rsidR="00A427D3" w:rsidRPr="00DD0A0C" w:rsidRDefault="00A427D3" w:rsidP="00DD0A0C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sectPr w:rsidR="00A427D3" w:rsidRPr="00DD0A0C" w:rsidSect="00DD0A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650F7" w14:textId="77777777" w:rsidR="001209B2" w:rsidRDefault="001209B2" w:rsidP="00712222">
      <w:pPr>
        <w:spacing w:after="0" w:line="240" w:lineRule="auto"/>
      </w:pPr>
      <w:r>
        <w:separator/>
      </w:r>
    </w:p>
  </w:endnote>
  <w:endnote w:type="continuationSeparator" w:id="0">
    <w:p w14:paraId="6765B60F" w14:textId="77777777" w:rsidR="001209B2" w:rsidRDefault="001209B2" w:rsidP="00712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DFBB2" w14:textId="77777777" w:rsidR="00712222" w:rsidRDefault="00712222" w:rsidP="00DD0A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3EBD56CA" w14:textId="77777777" w:rsidR="00712222" w:rsidRDefault="00712222" w:rsidP="0071222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DD272" w14:textId="55BC84DF" w:rsidR="00712222" w:rsidRPr="00DD0A0C" w:rsidRDefault="00DD0A0C" w:rsidP="00DD0A0C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DD0A0C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DD0A0C">
      <w:rPr>
        <w:rStyle w:val="PageNumber"/>
        <w:rFonts w:ascii="Arial" w:hAnsi="Arial" w:cs="Arial"/>
        <w:color w:val="999999"/>
        <w:sz w:val="20"/>
      </w:rPr>
      <w:t>http</w:t>
    </w:r>
    <w:r w:rsidRPr="00DD0A0C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DD0A0C">
      <w:rPr>
        <w:rStyle w:val="PageNumber"/>
        <w:rFonts w:ascii="Arial" w:hAnsi="Arial" w:cs="Arial"/>
        <w:color w:val="999999"/>
        <w:sz w:val="20"/>
      </w:rPr>
      <w:t>artefact</w:t>
    </w:r>
    <w:r w:rsidRPr="00DD0A0C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DD0A0C">
      <w:rPr>
        <w:rStyle w:val="PageNumber"/>
        <w:rFonts w:ascii="Arial" w:hAnsi="Arial" w:cs="Arial"/>
        <w:color w:val="999999"/>
        <w:sz w:val="20"/>
      </w:rPr>
      <w:t>lib</w:t>
    </w:r>
    <w:r w:rsidRPr="00DD0A0C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DD0A0C">
      <w:rPr>
        <w:rStyle w:val="PageNumber"/>
        <w:rFonts w:ascii="Arial" w:hAnsi="Arial" w:cs="Arial"/>
        <w:color w:val="999999"/>
        <w:sz w:val="20"/>
      </w:rPr>
      <w:t>ru</w:t>
    </w:r>
    <w:r w:rsidRPr="00DD0A0C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58740" w14:textId="77777777" w:rsidR="00712222" w:rsidRDefault="007122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8BC7F" w14:textId="77777777" w:rsidR="001209B2" w:rsidRDefault="001209B2" w:rsidP="00712222">
      <w:pPr>
        <w:spacing w:after="0" w:line="240" w:lineRule="auto"/>
      </w:pPr>
      <w:r>
        <w:separator/>
      </w:r>
    </w:p>
  </w:footnote>
  <w:footnote w:type="continuationSeparator" w:id="0">
    <w:p w14:paraId="4CAC5F0D" w14:textId="77777777" w:rsidR="001209B2" w:rsidRDefault="001209B2" w:rsidP="00712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D1CF4" w14:textId="77777777" w:rsidR="00712222" w:rsidRDefault="007122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B1CAC" w14:textId="070C3B99" w:rsidR="00712222" w:rsidRPr="00DD0A0C" w:rsidRDefault="00DD0A0C" w:rsidP="00DD0A0C">
    <w:pPr>
      <w:pStyle w:val="Header"/>
      <w:rPr>
        <w:rFonts w:ascii="Arial" w:hAnsi="Arial" w:cs="Arial"/>
        <w:color w:val="999999"/>
        <w:sz w:val="20"/>
        <w:lang w:val="ru-RU"/>
      </w:rPr>
    </w:pPr>
    <w:r w:rsidRPr="00DD0A0C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5FCBC" w14:textId="77777777" w:rsidR="00712222" w:rsidRDefault="007122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209B2"/>
    <w:rsid w:val="0015074B"/>
    <w:rsid w:val="0022323B"/>
    <w:rsid w:val="0029639D"/>
    <w:rsid w:val="00326F90"/>
    <w:rsid w:val="00670AAC"/>
    <w:rsid w:val="00712222"/>
    <w:rsid w:val="008D7ACD"/>
    <w:rsid w:val="00A427D3"/>
    <w:rsid w:val="00AA1D8D"/>
    <w:rsid w:val="00B47730"/>
    <w:rsid w:val="00CB0664"/>
    <w:rsid w:val="00CC50A3"/>
    <w:rsid w:val="00DD0A0C"/>
    <w:rsid w:val="00F912D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5A917A3"/>
  <w14:defaultImageDpi w14:val="300"/>
  <w15:docId w15:val="{8C222047-CF27-4825-A3A1-9DDA8FF1F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F912D5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F912D5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9">
    <w:name w:val="Para 09"/>
    <w:basedOn w:val="Normal"/>
    <w:qFormat/>
    <w:rsid w:val="00F912D5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21">
    <w:name w:val="Para 21"/>
    <w:basedOn w:val="Normal"/>
    <w:qFormat/>
    <w:rsid w:val="00F912D5"/>
    <w:pPr>
      <w:spacing w:after="0" w:line="312" w:lineRule="atLeast"/>
      <w:jc w:val="center"/>
    </w:pPr>
    <w:rPr>
      <w:rFonts w:ascii="Cambria" w:eastAsia="Cambria" w:hAnsi="Cambria" w:cs="Times New Roman"/>
      <w:b/>
      <w:bCs/>
      <w:color w:val="000000"/>
      <w:sz w:val="24"/>
      <w:szCs w:val="24"/>
      <w:lang w:val="es" w:eastAsia="es"/>
    </w:rPr>
  </w:style>
  <w:style w:type="paragraph" w:customStyle="1" w:styleId="Para22">
    <w:name w:val="Para 22"/>
    <w:basedOn w:val="Normal"/>
    <w:qFormat/>
    <w:rsid w:val="00F912D5"/>
    <w:pPr>
      <w:spacing w:after="0" w:line="312" w:lineRule="atLeast"/>
      <w:jc w:val="center"/>
    </w:pPr>
    <w:rPr>
      <w:rFonts w:ascii="Cambria" w:eastAsia="Cambria" w:hAnsi="Cambria" w:cs="Times New Roman"/>
      <w:b/>
      <w:bCs/>
      <w:color w:val="000000"/>
      <w:sz w:val="24"/>
      <w:szCs w:val="24"/>
      <w:lang w:val="es" w:eastAsia="es"/>
    </w:rPr>
  </w:style>
  <w:style w:type="character" w:customStyle="1" w:styleId="0Text">
    <w:name w:val="0 Text"/>
    <w:rsid w:val="00F912D5"/>
    <w:rPr>
      <w:i/>
      <w:iCs/>
    </w:rPr>
  </w:style>
  <w:style w:type="paragraph" w:customStyle="1" w:styleId="Para13">
    <w:name w:val="Para 13"/>
    <w:basedOn w:val="Normal"/>
    <w:qFormat/>
    <w:rsid w:val="00670AAC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712222"/>
  </w:style>
  <w:style w:type="paragraph" w:styleId="NormalWeb">
    <w:name w:val="Normal (Web)"/>
    <w:basedOn w:val="Normal"/>
    <w:uiPriority w:val="99"/>
    <w:semiHidden/>
    <w:unhideWhenUsed/>
    <w:rsid w:val="00DD0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2743</Words>
  <Characters>16925</Characters>
  <Application>Microsoft Office Word</Application>
  <DocSecurity>0</DocSecurity>
  <Lines>282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19624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Исследование слова</dc:title>
  <dc:subject/>
  <dc:creator>Хорхе Луис Борхес</dc:creator>
  <cp:keywords/>
  <dc:description/>
  <cp:lastModifiedBy>Andrey Piskunov</cp:lastModifiedBy>
  <cp:revision>10</cp:revision>
  <dcterms:created xsi:type="dcterms:W3CDTF">2013-12-23T23:15:00Z</dcterms:created>
  <dcterms:modified xsi:type="dcterms:W3CDTF">2026-06-16T03:18:00Z</dcterms:modified>
  <cp:category/>
</cp:coreProperties>
</file>